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4E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Перечень нормативных правовых актов,</w:t>
      </w:r>
      <w:r w:rsidR="00751AA6" w:rsidRPr="00CA1A46">
        <w:rPr>
          <w:rFonts w:ascii="PT Astra Serif" w:hAnsi="PT Astra Serif" w:cs="Times New Roman"/>
          <w:b/>
          <w:sz w:val="28"/>
          <w:szCs w:val="28"/>
        </w:rPr>
        <w:t xml:space="preserve"> с указанием структурных единиц этих актов, </w:t>
      </w:r>
      <w:r w:rsidRPr="00CA1A46">
        <w:rPr>
          <w:rFonts w:ascii="PT Astra Serif" w:hAnsi="PT Astra Serif" w:cs="Times New Roman"/>
          <w:b/>
          <w:sz w:val="28"/>
          <w:szCs w:val="28"/>
        </w:rPr>
        <w:t xml:space="preserve">содержащих обязательные требования,  установленные муниципальными правовыми актами, оценка соблюдения которых является предметом </w:t>
      </w:r>
    </w:p>
    <w:p w:rsidR="00940376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муниципального контроля</w:t>
      </w:r>
      <w:r w:rsidR="00940376">
        <w:rPr>
          <w:rFonts w:ascii="PT Astra Serif" w:hAnsi="PT Astra Serif" w:cs="Times New Roman"/>
          <w:b/>
          <w:sz w:val="28"/>
          <w:szCs w:val="28"/>
        </w:rPr>
        <w:t xml:space="preserve"> в сфере благоустройства</w:t>
      </w:r>
    </w:p>
    <w:p w:rsidR="0045474E" w:rsidRDefault="0045474E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t>Раздел I. Федеральные законы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59"/>
        <w:gridCol w:w="3258"/>
        <w:gridCol w:w="3401"/>
      </w:tblGrid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и реквизиты акта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круга лиц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и (или) перечня объектов,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proofErr w:type="gramStart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отношении</w:t>
            </w:r>
            <w:proofErr w:type="gramEnd"/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 которых устанавливаются обязательные требования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left="120"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4</w:t>
            </w: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A614C">
              <w:rPr>
                <w:rFonts w:ascii="PT Astra Serif" w:hAnsi="PT Astra Serif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06.10.2003 № 131-ФЗ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961A6D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 и физические лица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14, пункт 5</w:t>
            </w:r>
          </w:p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17.1</w:t>
            </w:r>
          </w:p>
          <w:p w:rsidR="00E455BC" w:rsidRDefault="00D36142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https://www.consultant.ru/document/cons_doc_LAW_44571/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 w:rsidP="006757A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DA614C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6757A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CA1A46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</w:t>
            </w:r>
            <w:proofErr w:type="gramEnd"/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 мер по пресечению выявленных нарушений обязательных 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требований, устранению их последствий и (или) восстановлению правового положения, существовавшего до возникновения таких нарушений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статья 44</w:t>
            </w:r>
          </w:p>
          <w:p w:rsidR="00E455BC" w:rsidRDefault="00D36142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https://www.consultant.ru/document/cons_doc_LAW_358750/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1C0AC4" w:rsidP="00C439FC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3</w:t>
            </w:r>
            <w:r w:rsidR="00DA614C" w:rsidRPr="005D42DF">
              <w:rPr>
                <w:rFonts w:ascii="PT Astra Serif" w:hAnsi="PT Astra Serif"/>
                <w:color w:val="000000" w:themeColor="text1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D36142" w:rsidP="003D5BC2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Федеральны</w:t>
              </w:r>
              <w:r w:rsidR="003D5BC2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й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закон от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26.12.2008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294-ФЗ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«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защите прав юридических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лиц и индивидуальных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предпринимателей при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осуществлении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государственного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 (надзора) 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муниципального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</w:t>
              </w:r>
            </w:hyperlink>
            <w:r w:rsidR="00DA614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DA614C" w:rsidP="00C439FC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ридические лица, индивидуальные предприниматели и физические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есь акт</w:t>
            </w:r>
          </w:p>
          <w:p w:rsidR="00E455BC" w:rsidRDefault="00D36142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https://www.consultant.ru/document/cons_doc_LAW_83079/</w:t>
              </w:r>
            </w:hyperlink>
          </w:p>
          <w:p w:rsidR="00E455BC" w:rsidRPr="005D42DF" w:rsidRDefault="00E455BC" w:rsidP="00C439F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2129" w:rsidRPr="00CA1A46" w:rsidRDefault="00DF2129">
      <w:pPr>
        <w:rPr>
          <w:rFonts w:ascii="PT Astra Serif" w:hAnsi="PT Astra Serif"/>
        </w:rPr>
      </w:pPr>
    </w:p>
    <w:p w:rsidR="00582F1B" w:rsidRPr="00CA1A46" w:rsidRDefault="00582F1B" w:rsidP="0045474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</w:rPr>
      </w:pPr>
      <w:r w:rsidRPr="00CA1A46">
        <w:rPr>
          <w:rFonts w:ascii="PT Astra Serif" w:hAnsi="PT Astra Serif"/>
          <w:sz w:val="28"/>
          <w:szCs w:val="28"/>
        </w:rPr>
        <w:t xml:space="preserve">Раздел </w:t>
      </w:r>
      <w:r w:rsidRPr="00CA1A46">
        <w:rPr>
          <w:rFonts w:ascii="PT Astra Serif" w:hAnsi="PT Astra Serif"/>
          <w:sz w:val="28"/>
          <w:szCs w:val="28"/>
          <w:lang w:val="en-US"/>
        </w:rPr>
        <w:t>II</w:t>
      </w:r>
      <w:r w:rsidRPr="00CA1A46">
        <w:rPr>
          <w:rFonts w:ascii="PT Astra Serif" w:hAnsi="PT Astra Serif"/>
          <w:sz w:val="28"/>
          <w:szCs w:val="28"/>
        </w:rPr>
        <w:t xml:space="preserve">. </w:t>
      </w:r>
      <w:r w:rsidRPr="00CA1A46">
        <w:rPr>
          <w:rFonts w:ascii="PT Astra Serif" w:hAnsi="PT Astra Serif"/>
          <w:bCs/>
          <w:sz w:val="28"/>
          <w:szCs w:val="28"/>
        </w:rPr>
        <w:t>Постановления и распоряжения Прав</w:t>
      </w:r>
      <w:r w:rsidR="007445C7" w:rsidRPr="00CA1A46">
        <w:rPr>
          <w:rFonts w:ascii="PT Astra Serif" w:hAnsi="PT Astra Serif"/>
          <w:bCs/>
          <w:sz w:val="28"/>
          <w:szCs w:val="28"/>
        </w:rPr>
        <w:t>ительства Российской Федерации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59"/>
        <w:gridCol w:w="3258"/>
        <w:gridCol w:w="3401"/>
      </w:tblGrid>
      <w:tr w:rsidR="00582F1B" w:rsidRPr="00CA1A46" w:rsidTr="00582F1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582F1B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582F1B" w:rsidRPr="00CA1A46" w:rsidRDefault="00582F1B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1</w:t>
            </w:r>
            <w:r w:rsidR="000620B1">
              <w:rPr>
                <w:rFonts w:ascii="PT Astra Serif" w:hAnsi="PT Astra Serif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7D131C" w:rsidP="000620B1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Российской Федерации от 25.06.2021 № 990 </w:t>
            </w:r>
            <w:r w:rsidR="000620B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1" w:rsidRPr="00582A2C" w:rsidRDefault="000620B1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0620B1" w:rsidRPr="000620B1" w:rsidRDefault="000620B1" w:rsidP="007445C7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7445C7" w:rsidRPr="000620B1" w:rsidRDefault="007445C7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924555">
              <w:rPr>
                <w:rFonts w:ascii="PT Astra Serif" w:hAnsi="PT Astra Serif" w:cs="Times New Roman"/>
                <w:sz w:val="24"/>
                <w:szCs w:val="24"/>
              </w:rPr>
              <w:t>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E5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E455BC" w:rsidRDefault="00D36142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http://government.ru/docs/all/135161/</w:t>
              </w:r>
            </w:hyperlink>
          </w:p>
          <w:p w:rsidR="00E455BC" w:rsidRPr="00CA1A46" w:rsidRDefault="00E455B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582F1B" w:rsidRPr="00CA1A46" w:rsidRDefault="00582F1B">
      <w:pPr>
        <w:rPr>
          <w:rFonts w:ascii="PT Astra Serif" w:hAnsi="PT Astra Serif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lastRenderedPageBreak/>
        <w:t xml:space="preserve">Раздел </w:t>
      </w:r>
      <w:r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I</w:t>
      </w:r>
      <w:r w:rsidR="00582F1B"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. Нормативные правовые акты</w:t>
      </w:r>
    </w:p>
    <w:p w:rsidR="00DF2129" w:rsidRDefault="006140BA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органа местного самоуправления </w:t>
      </w:r>
      <w:r w:rsidR="00675465">
        <w:rPr>
          <w:rFonts w:ascii="PT Astra Serif" w:hAnsi="PT Astra Serif" w:cs="Times New Roman"/>
          <w:sz w:val="28"/>
          <w:szCs w:val="28"/>
        </w:rPr>
        <w:t>Алексеевского</w:t>
      </w:r>
      <w:r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675465">
        <w:rPr>
          <w:rFonts w:ascii="PT Astra Serif" w:hAnsi="PT Astra Serif" w:cs="Times New Roman"/>
          <w:sz w:val="28"/>
          <w:szCs w:val="28"/>
        </w:rPr>
        <w:t>образования</w:t>
      </w:r>
    </w:p>
    <w:tbl>
      <w:tblPr>
        <w:tblW w:w="99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6"/>
        <w:gridCol w:w="2525"/>
        <w:gridCol w:w="1981"/>
        <w:gridCol w:w="2688"/>
        <w:gridCol w:w="2098"/>
      </w:tblGrid>
      <w:tr w:rsidR="00CA1A46" w:rsidRPr="00CA1A46" w:rsidTr="002538CA">
        <w:trPr>
          <w:trHeight w:val="253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N№ </w:t>
            </w:r>
            <w:proofErr w:type="gramStart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CA1A46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 w:rsidP="002538C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3D5BC2">
        <w:trPr>
          <w:trHeight w:val="4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 w:rsidP="002538CA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5</w:t>
            </w:r>
          </w:p>
        </w:tc>
      </w:tr>
      <w:tr w:rsidR="00CA1A46" w:rsidRPr="00CA1A46" w:rsidTr="00DD3374">
        <w:trPr>
          <w:trHeight w:val="21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582F1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  <w:r w:rsidR="00DE608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3D5BC2" w:rsidRDefault="00582F1B" w:rsidP="00675465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r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Устав </w:t>
            </w:r>
            <w:r w:rsidR="00675465">
              <w:rPr>
                <w:rFonts w:ascii="PT Astra Serif" w:hAnsi="PT Astra Serif" w:cs="Times New Roman"/>
                <w:sz w:val="24"/>
                <w:szCs w:val="24"/>
              </w:rPr>
              <w:t>Алексеевского муниципального образования</w:t>
            </w:r>
            <w:r w:rsidR="00DE608A"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 Хвалынского муниципального района Саратовской области</w:t>
            </w:r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582F1B" w:rsidP="00675465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</w:t>
            </w:r>
            <w:r w:rsidR="00DE608A" w:rsidRPr="00675465">
              <w:rPr>
                <w:rFonts w:ascii="PT Astra Serif" w:hAnsi="PT Astra Serif"/>
              </w:rPr>
              <w:t xml:space="preserve">Совета </w:t>
            </w:r>
            <w:r w:rsidR="00675465" w:rsidRPr="00675465">
              <w:rPr>
                <w:rFonts w:ascii="PT Astra Serif" w:hAnsi="PT Astra Serif"/>
              </w:rPr>
              <w:t>Алексеевского</w:t>
            </w:r>
            <w:r w:rsidR="00675465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="00DE608A" w:rsidRPr="00DE608A">
              <w:rPr>
                <w:rFonts w:ascii="PT Astra Serif" w:hAnsi="PT Astra Serif"/>
              </w:rPr>
              <w:t xml:space="preserve">муниципального образования от 05 </w:t>
            </w:r>
            <w:r w:rsidR="00675465">
              <w:rPr>
                <w:rFonts w:ascii="PT Astra Serif" w:hAnsi="PT Astra Serif"/>
              </w:rPr>
              <w:t>ноября 2020</w:t>
            </w:r>
            <w:r w:rsidR="00DE608A" w:rsidRPr="00DE608A">
              <w:rPr>
                <w:rFonts w:ascii="PT Astra Serif" w:hAnsi="PT Astra Serif"/>
              </w:rPr>
              <w:t xml:space="preserve"> года</w:t>
            </w:r>
            <w:r w:rsidR="00934B94">
              <w:rPr>
                <w:rFonts w:ascii="PT Astra Serif" w:hAnsi="PT Astra Serif"/>
              </w:rPr>
              <w:t xml:space="preserve"> № </w:t>
            </w:r>
            <w:r w:rsidR="00675465">
              <w:rPr>
                <w:rFonts w:ascii="PT Astra Serif" w:hAnsi="PT Astra Serif"/>
              </w:rPr>
              <w:t>233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8A" w:rsidRPr="00582A2C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DE608A" w:rsidRPr="000620B1" w:rsidRDefault="00DE608A" w:rsidP="00DE608A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582F1B" w:rsidRPr="00CA1A46" w:rsidRDefault="00582F1B" w:rsidP="002538CA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455BC">
              <w:rPr>
                <w:rFonts w:ascii="PT Astra Serif" w:hAnsi="PT Astra Serif" w:cs="Times New Roman"/>
                <w:sz w:val="24"/>
                <w:szCs w:val="24"/>
              </w:rPr>
              <w:t>статья 3</w:t>
            </w:r>
          </w:p>
          <w:p w:rsidR="00E77A03" w:rsidRPr="00E455BC" w:rsidRDefault="00E77A03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0" w:history="1">
              <w:r w:rsidRPr="00A24934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https://hvalynsk.finhval.ru/munitsipalnye-obrazovaniya-khvalynskogo-rayona/alekseevskoe-munitsipalnoe-obrazovanie/dokumenty/ustav.php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582F1B" w:rsidRPr="00CA1A46" w:rsidRDefault="00582F1B" w:rsidP="00DD3374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</w:tr>
      <w:tr w:rsidR="00DF2129" w:rsidRPr="00CA1A46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Pr="00CA1A46" w:rsidRDefault="00DF2129" w:rsidP="00934B94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2129" w:rsidRPr="00CA1A46" w:rsidRDefault="00DF2129" w:rsidP="0045474E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2</w:t>
            </w:r>
            <w:r w:rsidR="00DE608A">
              <w:rPr>
                <w:rFonts w:ascii="PT Astra Serif" w:hAnsi="PT Astra Serif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2" w:rsidRPr="00430672" w:rsidRDefault="00430672" w:rsidP="00430672">
            <w:pPr>
              <w:jc w:val="both"/>
              <w:rPr>
                <w:rFonts w:ascii="PT Astra Serif" w:hAnsi="PT Astra Serif"/>
              </w:rPr>
            </w:pPr>
            <w:r w:rsidRPr="00430672">
              <w:rPr>
                <w:rFonts w:ascii="PT Astra Serif" w:hAnsi="PT Astra Serif"/>
                <w:bCs/>
                <w:color w:val="000000"/>
              </w:rPr>
              <w:t>Об утверждении Положения о муниципальном контроле в сфере благоустройства на территории Алексеевского муниципального образования</w:t>
            </w:r>
          </w:p>
          <w:p w:rsidR="00DF2129" w:rsidRPr="00CA1A46" w:rsidRDefault="00DF2129" w:rsidP="001C0AC4">
            <w:pPr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Default="00430672" w:rsidP="00934B94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>Решение Совета Алексеевского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DF2129" w:rsidRPr="00CA1A46">
              <w:rPr>
                <w:rFonts w:ascii="PT Astra Serif" w:hAnsi="PT Astra Serif"/>
              </w:rPr>
              <w:t xml:space="preserve">от </w:t>
            </w:r>
            <w:r w:rsidR="001C0AC4">
              <w:rPr>
                <w:rFonts w:ascii="PT Astra Serif" w:hAnsi="PT Astra Serif"/>
              </w:rPr>
              <w:t>24</w:t>
            </w:r>
            <w:r w:rsidR="00934B9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июля 2023</w:t>
            </w:r>
            <w:r w:rsidR="00934B94">
              <w:rPr>
                <w:rFonts w:ascii="PT Astra Serif" w:hAnsi="PT Astra Serif"/>
              </w:rPr>
              <w:t xml:space="preserve"> года № </w:t>
            </w:r>
            <w:r>
              <w:rPr>
                <w:rFonts w:ascii="PT Astra Serif" w:hAnsi="PT Astra Serif"/>
              </w:rPr>
              <w:t>93</w:t>
            </w:r>
          </w:p>
          <w:p w:rsidR="00DF2129" w:rsidRPr="00CA1A46" w:rsidRDefault="00940ED8" w:rsidP="001C0A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 изменениями и дополнениями)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A" w:rsidRPr="00A073E8" w:rsidRDefault="002538CA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A073E8">
              <w:rPr>
                <w:rFonts w:ascii="PT Astra Serif" w:hAnsi="PT Astra Serif" w:cs="Times New Roman"/>
                <w:sz w:val="24"/>
                <w:szCs w:val="24"/>
              </w:rPr>
              <w:t>Объектами муниципального</w:t>
            </w:r>
            <w:r w:rsidR="00DD3410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DD3410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онтроля 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в сфере благоустройства </w:t>
            </w:r>
            <w:r w:rsidRPr="00A073E8">
              <w:rPr>
                <w:rFonts w:ascii="PT Astra Serif" w:hAnsi="PT Astra Serif" w:cs="Times New Roman"/>
                <w:sz w:val="24"/>
                <w:szCs w:val="24"/>
              </w:rPr>
              <w:t>являются:</w:t>
            </w:r>
          </w:p>
          <w:p w:rsidR="005E0FF2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территории различного функционального назначения, на которых осуществляется деятельность по благоустройству, в том числе: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1) дворовые территории;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2) площадки для выгула животных;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3) парки, скверы, иные зеленые зоны;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4) технические и санитарно-защитные зоны.</w:t>
            </w:r>
          </w:p>
          <w:p w:rsidR="00DF2129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  <w:color w:val="000000"/>
              </w:rPr>
              <w:t xml:space="preserve">Под ограждающими устройствами в настоящем Положении понимаются ворота, </w:t>
            </w:r>
            <w:r w:rsidRPr="00A073E8">
              <w:rPr>
                <w:rFonts w:ascii="PT Astra Serif" w:hAnsi="PT Astra Serif"/>
                <w:color w:val="000000"/>
              </w:rPr>
              <w:lastRenderedPageBreak/>
              <w:t>калитки, шлагбаумы, в том числе автоматические, и декоративные ограждения (заборы).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Default="00582F1B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весь акт</w:t>
            </w:r>
          </w:p>
          <w:p w:rsidR="00940ED8" w:rsidRDefault="00E77A03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1" w:history="1">
              <w:r w:rsidRPr="00A24934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https://hvalynsk.finhval.ru/munitsipalnye-obrazovaniya-khvalynskogo-rayona/alekseevskoe-munitsipalnoe-obrazovanie/sovet/resheniya-soveta.php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455BC" w:rsidRPr="00CA1A46" w:rsidRDefault="00E455BC" w:rsidP="00A073E8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0AC4" w:rsidRPr="00CA1A46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4C3C4B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C0AC4" w:rsidRPr="00CA1A46" w:rsidRDefault="001C0AC4" w:rsidP="004C3C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1C0AC4">
            <w:pPr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Об утверждении П</w:t>
            </w:r>
            <w:r>
              <w:rPr>
                <w:rFonts w:ascii="PT Astra Serif" w:hAnsi="PT Astra Serif"/>
              </w:rPr>
              <w:t>равил благоустройства на территории муниципального образования город Хвалынск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Default="00430672" w:rsidP="004C3C4B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>Решение Совета Алексеевского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1C0AC4" w:rsidRPr="00CA1A46">
              <w:rPr>
                <w:rFonts w:ascii="PT Astra Serif" w:hAnsi="PT Astra Serif"/>
              </w:rPr>
              <w:t xml:space="preserve">от </w:t>
            </w:r>
            <w:r>
              <w:rPr>
                <w:rFonts w:ascii="PT Astra Serif" w:hAnsi="PT Astra Serif"/>
              </w:rPr>
              <w:t>30 октября 2017</w:t>
            </w:r>
            <w:r w:rsidR="001C0AC4">
              <w:rPr>
                <w:rFonts w:ascii="PT Astra Serif" w:hAnsi="PT Astra Serif"/>
              </w:rPr>
              <w:t xml:space="preserve"> года № </w:t>
            </w:r>
            <w:r>
              <w:rPr>
                <w:rFonts w:ascii="PT Astra Serif" w:hAnsi="PT Astra Serif"/>
              </w:rPr>
              <w:t>72</w:t>
            </w:r>
          </w:p>
          <w:p w:rsidR="001C0AC4" w:rsidRPr="00CA1A46" w:rsidRDefault="001C0AC4" w:rsidP="004C3C4B">
            <w:pPr>
              <w:rPr>
                <w:rFonts w:ascii="PT Astra Serif" w:hAnsi="PT Astra Serif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A073E8" w:rsidRDefault="00B41A64" w:rsidP="004C3C4B">
            <w:pPr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753011" w:rsidRDefault="001C0AC4" w:rsidP="004C3C4B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753011"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32558A" w:rsidRPr="00753011" w:rsidRDefault="00E77A03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 w:rsidRPr="00A24934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https://hvalynsk.finhval.ru/munitsipalnye-obrazovaniya-khvalynskogo-rayona/alekseevskoe-munitsipalnoe-obrazovanie/sovet/resheniya-soveta.php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DF2129" w:rsidRPr="00CA1A46" w:rsidRDefault="00DF2129" w:rsidP="00934B94">
      <w:pPr>
        <w:pStyle w:val="ConsPlusNormal0"/>
        <w:ind w:firstLine="0"/>
        <w:rPr>
          <w:rFonts w:ascii="PT Astra Serif" w:hAnsi="PT Astra Serif" w:cs="Times New Roman"/>
          <w:sz w:val="28"/>
          <w:szCs w:val="28"/>
        </w:rPr>
      </w:pPr>
    </w:p>
    <w:sectPr w:rsidR="00DF2129" w:rsidRPr="00CA1A46" w:rsidSect="00D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51" w:rsidRDefault="007F7351" w:rsidP="00DF2129">
      <w:r>
        <w:separator/>
      </w:r>
    </w:p>
  </w:endnote>
  <w:endnote w:type="continuationSeparator" w:id="0">
    <w:p w:rsidR="007F7351" w:rsidRDefault="007F7351" w:rsidP="00DF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51" w:rsidRDefault="007F7351" w:rsidP="00DF2129">
      <w:r>
        <w:separator/>
      </w:r>
    </w:p>
  </w:footnote>
  <w:footnote w:type="continuationSeparator" w:id="0">
    <w:p w:rsidR="007F7351" w:rsidRDefault="007F7351" w:rsidP="00DF2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583"/>
    <w:rsid w:val="000620B1"/>
    <w:rsid w:val="00095F1B"/>
    <w:rsid w:val="001C0AC4"/>
    <w:rsid w:val="001C3247"/>
    <w:rsid w:val="00235F61"/>
    <w:rsid w:val="002538CA"/>
    <w:rsid w:val="0032558A"/>
    <w:rsid w:val="003D5BC2"/>
    <w:rsid w:val="003F7DF7"/>
    <w:rsid w:val="00430672"/>
    <w:rsid w:val="0045474E"/>
    <w:rsid w:val="00495D40"/>
    <w:rsid w:val="004D4583"/>
    <w:rsid w:val="00544D63"/>
    <w:rsid w:val="00582A2C"/>
    <w:rsid w:val="00582F1B"/>
    <w:rsid w:val="005E0FF2"/>
    <w:rsid w:val="006121EC"/>
    <w:rsid w:val="006140BA"/>
    <w:rsid w:val="00675465"/>
    <w:rsid w:val="006B45E5"/>
    <w:rsid w:val="006C4D52"/>
    <w:rsid w:val="006C648C"/>
    <w:rsid w:val="006E4D19"/>
    <w:rsid w:val="007445C7"/>
    <w:rsid w:val="00751AA6"/>
    <w:rsid w:val="00753011"/>
    <w:rsid w:val="0077259D"/>
    <w:rsid w:val="0078139F"/>
    <w:rsid w:val="007D131C"/>
    <w:rsid w:val="007F7351"/>
    <w:rsid w:val="008F25CC"/>
    <w:rsid w:val="008F4169"/>
    <w:rsid w:val="00924555"/>
    <w:rsid w:val="00934B94"/>
    <w:rsid w:val="00940376"/>
    <w:rsid w:val="00940ED8"/>
    <w:rsid w:val="00961A6D"/>
    <w:rsid w:val="00A073E8"/>
    <w:rsid w:val="00AF0C45"/>
    <w:rsid w:val="00B41A64"/>
    <w:rsid w:val="00B74727"/>
    <w:rsid w:val="00BF25FC"/>
    <w:rsid w:val="00C57146"/>
    <w:rsid w:val="00CA1A46"/>
    <w:rsid w:val="00D145EC"/>
    <w:rsid w:val="00D36142"/>
    <w:rsid w:val="00DA614C"/>
    <w:rsid w:val="00DB6222"/>
    <w:rsid w:val="00DD3374"/>
    <w:rsid w:val="00DD3410"/>
    <w:rsid w:val="00DE608A"/>
    <w:rsid w:val="00DF1A28"/>
    <w:rsid w:val="00DF2129"/>
    <w:rsid w:val="00E42ADD"/>
    <w:rsid w:val="00E455BC"/>
    <w:rsid w:val="00E77A03"/>
    <w:rsid w:val="00E83DF4"/>
    <w:rsid w:val="00ED437F"/>
    <w:rsid w:val="00F13A0A"/>
    <w:rsid w:val="00F1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CA1A46"/>
    <w:rPr>
      <w:rFonts w:ascii="Times New Roman" w:eastAsia="Times New Roman" w:hAnsi="Times New Roman" w:cs="Times New Roman"/>
      <w:color w:val="0000FF"/>
      <w:shd w:val="clear" w:color="auto" w:fill="FFFFFF"/>
    </w:rPr>
  </w:style>
  <w:style w:type="paragraph" w:customStyle="1" w:styleId="aa">
    <w:name w:val="Другое"/>
    <w:basedOn w:val="a"/>
    <w:link w:val="a9"/>
    <w:rsid w:val="00CA1A46"/>
    <w:pPr>
      <w:widowControl w:val="0"/>
      <w:shd w:val="clear" w:color="auto" w:fill="FFFFFF"/>
      <w:jc w:val="center"/>
    </w:pPr>
    <w:rPr>
      <w:color w:val="0000FF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A614C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5E0F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F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CA1A46"/>
    <w:rPr>
      <w:rFonts w:ascii="Times New Roman" w:eastAsia="Times New Roman" w:hAnsi="Times New Roman" w:cs="Times New Roman"/>
      <w:color w:val="0000FF"/>
      <w:shd w:val="clear" w:color="auto" w:fill="FFFFFF"/>
    </w:rPr>
  </w:style>
  <w:style w:type="paragraph" w:customStyle="1" w:styleId="aa">
    <w:name w:val="Другое"/>
    <w:basedOn w:val="a"/>
    <w:link w:val="a9"/>
    <w:rsid w:val="00CA1A46"/>
    <w:pPr>
      <w:widowControl w:val="0"/>
      <w:shd w:val="clear" w:color="auto" w:fill="FFFFFF"/>
      <w:jc w:val="center"/>
    </w:pPr>
    <w:rPr>
      <w:color w:val="0000FF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A614C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5E0F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F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hyperlink" Target="https://www.consultant.ru/document/cons_doc_LAW_8307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valynsk.finhval.ru/munitsipalnye-obrazovaniya-khvalynskogo-rayona/alekseevskoe-munitsipalnoe-obrazovanie/sovet/resheniya-soveta.php" TargetMode="External"/><Relationship Id="rId7" Type="http://schemas.openxmlformats.org/officeDocument/2006/relationships/hyperlink" Target="https://www.consultant.ru/document/cons_doc_LAW_358750/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://docs.cntd.ru/document/902135756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hyperlink" Target="https://hvalynsk.finhval.ru/munitsipalnye-obrazovaniya-khvalynskogo-rayona/alekseevskoe-munitsipalnoe-obrazovanie/dokumenty/ustav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571/" TargetMode="External"/><Relationship Id="rId11" Type="http://schemas.openxmlformats.org/officeDocument/2006/relationships/hyperlink" Target="http://docs.cntd.ru/document/90213575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21357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19" Type="http://schemas.openxmlformats.org/officeDocument/2006/relationships/hyperlink" Target="http://government.ru/docs/all/13516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Relationship Id="rId22" Type="http://schemas.openxmlformats.org/officeDocument/2006/relationships/hyperlink" Target="https://hvalynsk.finhval.ru/munitsipalnye-obrazovaniya-khvalynskogo-rayona/alekseevskoe-munitsipalnoe-obrazovanie/sovet/resheniya-sovet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2025-06-30T11:44:00Z</cp:lastPrinted>
  <dcterms:created xsi:type="dcterms:W3CDTF">2024-02-21T10:18:00Z</dcterms:created>
  <dcterms:modified xsi:type="dcterms:W3CDTF">2026-03-30T07:38:00Z</dcterms:modified>
</cp:coreProperties>
</file>