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03A" w:rsidRPr="0070503A" w:rsidRDefault="0070503A" w:rsidP="0070503A">
      <w:pPr>
        <w:spacing w:after="0" w:line="240" w:lineRule="auto"/>
        <w:rPr>
          <w:rFonts w:ascii="PT Astra Serif" w:eastAsia="Times New Roman" w:hAnsi="PT Astra Serif" w:cs="Times New Roman"/>
          <w:color w:val="FF0000"/>
          <w:sz w:val="24"/>
          <w:szCs w:val="28"/>
          <w:lang w:eastAsia="ru-RU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80"/>
        <w:gridCol w:w="4965"/>
      </w:tblGrid>
      <w:tr w:rsidR="0070503A" w:rsidRPr="0070503A" w:rsidTr="0070503A">
        <w:trPr>
          <w:trHeight w:val="1812"/>
        </w:trPr>
        <w:tc>
          <w:tcPr>
            <w:tcW w:w="9643" w:type="dxa"/>
            <w:gridSpan w:val="2"/>
          </w:tcPr>
          <w:p w:rsidR="0070503A" w:rsidRPr="0070503A" w:rsidRDefault="0070503A" w:rsidP="0070503A">
            <w:pPr>
              <w:widowControl w:val="0"/>
              <w:tabs>
                <w:tab w:val="left" w:pos="-108"/>
              </w:tabs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0503A">
              <w:rPr>
                <w:rFonts w:ascii="Times New Roman" w:eastAsia="Times New Roman" w:hAnsi="Times New Roman" w:cs="Times New Roman"/>
                <w:noProof/>
                <w:sz w:val="56"/>
                <w:szCs w:val="20"/>
                <w:lang w:eastAsia="ru-RU"/>
              </w:rPr>
              <w:drawing>
                <wp:anchor distT="0" distB="0" distL="114300" distR="114300" simplePos="0" relativeHeight="251659264" behindDoc="0" locked="1" layoutInCell="0" allowOverlap="1" wp14:anchorId="1A8B9C16" wp14:editId="78EFC757">
                  <wp:simplePos x="0" y="0"/>
                  <wp:positionH relativeFrom="margin">
                    <wp:posOffset>3000375</wp:posOffset>
                  </wp:positionH>
                  <wp:positionV relativeFrom="paragraph">
                    <wp:posOffset>-247650</wp:posOffset>
                  </wp:positionV>
                  <wp:extent cx="400050" cy="504825"/>
                  <wp:effectExtent l="0" t="0" r="0" b="9525"/>
                  <wp:wrapTopAndBottom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50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70503A" w:rsidRPr="0070503A" w:rsidRDefault="0070503A" w:rsidP="0070503A">
            <w:pPr>
              <w:widowControl w:val="0"/>
              <w:tabs>
                <w:tab w:val="left" w:pos="-108"/>
              </w:tabs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050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ЕЛШАНСКОГО МУНИЦИПАЛЬНОГО ОБРАЗОВАНИЯ</w:t>
            </w:r>
          </w:p>
          <w:p w:rsidR="0070503A" w:rsidRPr="0070503A" w:rsidRDefault="0070503A" w:rsidP="0070503A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050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ХВАЛЫНСКОГО МУНИЦИПАЛЬНОГО РАЙОНА</w:t>
            </w:r>
          </w:p>
          <w:p w:rsidR="0070503A" w:rsidRPr="0070503A" w:rsidRDefault="0070503A" w:rsidP="0070503A">
            <w:pPr>
              <w:widowControl w:val="0"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050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САРАТОВСКОЙ ОБЛАСТИ</w:t>
            </w:r>
          </w:p>
          <w:p w:rsidR="0070503A" w:rsidRPr="0070503A" w:rsidRDefault="0070503A" w:rsidP="0070503A">
            <w:pPr>
              <w:widowControl w:val="0"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70503A" w:rsidRPr="0070503A" w:rsidRDefault="0070503A" w:rsidP="0070503A">
            <w:pPr>
              <w:widowControl w:val="0"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050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РАСПОРЯЖЕНИЕ</w:t>
            </w:r>
          </w:p>
          <w:p w:rsidR="0070503A" w:rsidRPr="0070503A" w:rsidRDefault="0070503A" w:rsidP="0070503A">
            <w:pPr>
              <w:widowControl w:val="0"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503A" w:rsidRPr="0070503A" w:rsidTr="0070503A">
        <w:trPr>
          <w:trHeight w:val="439"/>
        </w:trPr>
        <w:tc>
          <w:tcPr>
            <w:tcW w:w="4679" w:type="dxa"/>
            <w:vAlign w:val="bottom"/>
            <w:hideMark/>
          </w:tcPr>
          <w:p w:rsidR="0070503A" w:rsidRPr="0070503A" w:rsidRDefault="0070503A" w:rsidP="0070503A">
            <w:pPr>
              <w:widowControl w:val="0"/>
              <w:spacing w:after="0" w:line="240" w:lineRule="auto"/>
              <w:ind w:right="-6061"/>
              <w:outlineLvl w:val="0"/>
              <w:rPr>
                <w:rFonts w:ascii="PT Astra Serif" w:eastAsia="Times New Roman" w:hAnsi="PT Astra Serif" w:cs="Times New Roman"/>
                <w:noProof/>
                <w:sz w:val="28"/>
                <w:szCs w:val="28"/>
                <w:lang w:eastAsia="ru-RU"/>
              </w:rPr>
            </w:pPr>
            <w:r w:rsidRPr="0070503A">
              <w:rPr>
                <w:rFonts w:ascii="PT Astra Serif" w:eastAsia="Times New Roman" w:hAnsi="PT Astra Serif" w:cs="Times New Roman"/>
                <w:noProof/>
                <w:sz w:val="28"/>
                <w:szCs w:val="28"/>
                <w:lang w:eastAsia="ru-RU"/>
              </w:rPr>
              <w:t xml:space="preserve">16 февраля 2026 года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64" w:type="dxa"/>
            <w:vAlign w:val="center"/>
            <w:hideMark/>
          </w:tcPr>
          <w:p w:rsidR="0070503A" w:rsidRPr="0070503A" w:rsidRDefault="0070503A" w:rsidP="0070503A">
            <w:pPr>
              <w:widowControl w:val="0"/>
              <w:tabs>
                <w:tab w:val="left" w:pos="1740"/>
              </w:tabs>
              <w:spacing w:after="0" w:line="240" w:lineRule="auto"/>
              <w:ind w:left="-4787"/>
              <w:jc w:val="right"/>
              <w:outlineLvl w:val="0"/>
              <w:rPr>
                <w:rFonts w:ascii="PT Astra Serif" w:eastAsia="Times New Roman" w:hAnsi="PT Astra Serif" w:cs="Times New Roman"/>
                <w:noProof/>
                <w:sz w:val="28"/>
                <w:szCs w:val="28"/>
                <w:lang w:eastAsia="ru-RU"/>
              </w:rPr>
            </w:pPr>
            <w:r w:rsidRPr="0070503A">
              <w:rPr>
                <w:rFonts w:ascii="PT Astra Serif" w:eastAsia="Times New Roman" w:hAnsi="PT Astra Serif" w:cs="Times New Roman"/>
                <w:noProof/>
                <w:sz w:val="28"/>
                <w:szCs w:val="28"/>
                <w:lang w:eastAsia="ru-RU"/>
              </w:rPr>
              <w:t>№06-р</w:t>
            </w:r>
          </w:p>
        </w:tc>
      </w:tr>
      <w:tr w:rsidR="0070503A" w:rsidRPr="0070503A" w:rsidTr="0070503A">
        <w:trPr>
          <w:trHeight w:val="438"/>
        </w:trPr>
        <w:tc>
          <w:tcPr>
            <w:tcW w:w="9643" w:type="dxa"/>
            <w:gridSpan w:val="2"/>
            <w:vAlign w:val="bottom"/>
            <w:hideMark/>
          </w:tcPr>
          <w:p w:rsidR="0070503A" w:rsidRPr="0070503A" w:rsidRDefault="0070503A" w:rsidP="0070503A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noProof/>
                <w:sz w:val="28"/>
                <w:szCs w:val="28"/>
                <w:lang w:eastAsia="ru-RU"/>
              </w:rPr>
            </w:pPr>
            <w:r w:rsidRPr="0070503A">
              <w:rPr>
                <w:rFonts w:ascii="PT Astra Serif" w:eastAsia="Times New Roman" w:hAnsi="PT Astra Serif" w:cs="Times New Roman"/>
                <w:noProof/>
                <w:sz w:val="28"/>
                <w:szCs w:val="28"/>
                <w:lang w:eastAsia="ru-RU"/>
              </w:rPr>
              <w:t>с. Елшанка</w:t>
            </w:r>
          </w:p>
        </w:tc>
      </w:tr>
    </w:tbl>
    <w:p w:rsidR="0070503A" w:rsidRPr="0070503A" w:rsidRDefault="0070503A" w:rsidP="0070503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proofErr w:type="gramStart"/>
      <w:r w:rsidRPr="0070503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Об утверждении доклада о результатах  обобщения правоприменительной практики по осуществлению муниципального контроля в сфере благоустройства на территории</w:t>
      </w:r>
      <w:proofErr w:type="gramEnd"/>
      <w:r w:rsidRPr="0070503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0503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Елшанского</w:t>
      </w:r>
      <w:proofErr w:type="spellEnd"/>
      <w:r w:rsidRPr="0070503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муниципального образования  </w:t>
      </w:r>
      <w:proofErr w:type="spellStart"/>
      <w:r w:rsidRPr="0070503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Хвалынского</w:t>
      </w:r>
      <w:proofErr w:type="spellEnd"/>
      <w:r w:rsidRPr="0070503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муниципального района Саратовской области за 2025 год </w:t>
      </w:r>
    </w:p>
    <w:p w:rsidR="0070503A" w:rsidRPr="0070503A" w:rsidRDefault="0070503A" w:rsidP="0070503A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</w:t>
      </w:r>
      <w:proofErr w:type="gramStart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статьей 47 Федерального закона от 31.07.2020 № 248-ФЗ «О государственном контроле (надзоре) и муниципальном контроле в Российской Федерации», статьей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Уставом </w:t>
      </w:r>
      <w:proofErr w:type="spellStart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>Елшанского</w:t>
      </w:r>
      <w:proofErr w:type="spellEnd"/>
      <w:proofErr w:type="gramEnd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>Хвалынского</w:t>
      </w:r>
      <w:proofErr w:type="spellEnd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района Саратовской области, на основании решения Совета </w:t>
      </w:r>
      <w:proofErr w:type="spellStart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>Елшанского</w:t>
      </w:r>
      <w:proofErr w:type="spellEnd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>Хвалынского</w:t>
      </w:r>
      <w:proofErr w:type="spellEnd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района Саратовской области от 04.03.2025 года № 165 «Об утверждении Положения о муниципальном контроле в сфере благоустройства на территории </w:t>
      </w:r>
      <w:proofErr w:type="spellStart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>Елшанского</w:t>
      </w:r>
      <w:proofErr w:type="spellEnd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образования»: </w:t>
      </w:r>
    </w:p>
    <w:p w:rsidR="0070503A" w:rsidRPr="0070503A" w:rsidRDefault="0070503A" w:rsidP="0070503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Утвердить доклад о результатах обобщения правоприменительной практики по осуществлению муниципального контроля в сфере благоустройства на территории </w:t>
      </w:r>
      <w:proofErr w:type="spellStart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>Елшанского</w:t>
      </w:r>
      <w:proofErr w:type="spellEnd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>Хвалынского</w:t>
      </w:r>
      <w:proofErr w:type="spellEnd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района Саратовской области за 2025 год (согласно Приложению). </w:t>
      </w:r>
    </w:p>
    <w:p w:rsidR="0070503A" w:rsidRPr="0070503A" w:rsidRDefault="0070503A" w:rsidP="0070503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Настоящее распоряжение подлежит размещению на официальном сайте администрации в информационно-телекоммуникационной сети «Интернет». </w:t>
      </w:r>
    </w:p>
    <w:p w:rsidR="0070503A" w:rsidRPr="0070503A" w:rsidRDefault="0070503A" w:rsidP="0070503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</w:t>
      </w:r>
      <w:proofErr w:type="gramStart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за</w:t>
      </w:r>
      <w:proofErr w:type="gramEnd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исполнением настоящего распоряжения оставляю за собой.</w:t>
      </w:r>
    </w:p>
    <w:p w:rsidR="0070503A" w:rsidRPr="0070503A" w:rsidRDefault="0070503A" w:rsidP="0070503A">
      <w:pPr>
        <w:tabs>
          <w:tab w:val="left" w:pos="6735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50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Глава </w:t>
      </w:r>
      <w:proofErr w:type="spellStart"/>
      <w:r w:rsidRPr="007050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Елшанского</w:t>
      </w:r>
      <w:proofErr w:type="spellEnd"/>
      <w:r w:rsidRPr="007050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70503A" w:rsidRPr="0070503A" w:rsidRDefault="0070503A" w:rsidP="0070503A">
      <w:pPr>
        <w:tabs>
          <w:tab w:val="left" w:pos="6735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050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муниципального образования                      </w:t>
      </w:r>
      <w:proofErr w:type="spellStart"/>
      <w:r w:rsidRPr="007050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И.Н.Богачева</w:t>
      </w:r>
      <w:proofErr w:type="spellEnd"/>
    </w:p>
    <w:p w:rsidR="0070503A" w:rsidRPr="0070503A" w:rsidRDefault="0070503A" w:rsidP="0070503A">
      <w:pPr>
        <w:tabs>
          <w:tab w:val="left" w:pos="6735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0503A" w:rsidRPr="0070503A" w:rsidRDefault="0070503A" w:rsidP="0070503A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 Приложение к распоряжению </w:t>
      </w:r>
    </w:p>
    <w:p w:rsidR="0070503A" w:rsidRPr="0070503A" w:rsidRDefault="0070503A" w:rsidP="0070503A">
      <w:pPr>
        <w:spacing w:after="0" w:line="240" w:lineRule="auto"/>
        <w:ind w:firstLine="708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0503A" w:rsidRPr="0070503A" w:rsidRDefault="0070503A" w:rsidP="0070503A">
      <w:pPr>
        <w:spacing w:after="0" w:line="240" w:lineRule="auto"/>
        <w:ind w:firstLine="708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УТВЕРЖДЕНО </w:t>
      </w:r>
    </w:p>
    <w:p w:rsidR="0070503A" w:rsidRPr="0070503A" w:rsidRDefault="0070503A" w:rsidP="0070503A">
      <w:pPr>
        <w:spacing w:after="0" w:line="240" w:lineRule="auto"/>
        <w:ind w:firstLine="708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распоряжением администрации </w:t>
      </w:r>
    </w:p>
    <w:p w:rsidR="0070503A" w:rsidRPr="0070503A" w:rsidRDefault="0070503A" w:rsidP="0070503A">
      <w:pPr>
        <w:spacing w:after="0" w:line="240" w:lineRule="auto"/>
        <w:ind w:firstLine="708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spellStart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>Елшанского</w:t>
      </w:r>
      <w:proofErr w:type="spellEnd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70503A" w:rsidRPr="0070503A" w:rsidRDefault="0070503A" w:rsidP="0070503A">
      <w:pPr>
        <w:spacing w:after="0" w:line="240" w:lineRule="auto"/>
        <w:ind w:firstLine="708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>Хвалынского</w:t>
      </w:r>
      <w:proofErr w:type="spellEnd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района </w:t>
      </w:r>
    </w:p>
    <w:p w:rsidR="0070503A" w:rsidRPr="0070503A" w:rsidRDefault="0070503A" w:rsidP="0070503A">
      <w:pPr>
        <w:spacing w:after="0" w:line="240" w:lineRule="auto"/>
        <w:ind w:firstLine="708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Саратовской области от 16.02.2025 №06-р </w:t>
      </w:r>
    </w:p>
    <w:p w:rsidR="0070503A" w:rsidRPr="0070503A" w:rsidRDefault="0070503A" w:rsidP="0070503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0503A" w:rsidRPr="0070503A" w:rsidRDefault="0070503A" w:rsidP="0070503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0503A" w:rsidRPr="0070503A" w:rsidRDefault="0070503A" w:rsidP="0070503A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0503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Доклад о результатах обобщения правоприменительной практики по осуществлению муниципального контроля в сфере благоустройства на территории </w:t>
      </w:r>
      <w:proofErr w:type="spellStart"/>
      <w:r w:rsidRPr="007050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Елшанского</w:t>
      </w:r>
      <w:proofErr w:type="spellEnd"/>
      <w:r w:rsidRPr="0070503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70503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Хвалынского</w:t>
      </w:r>
      <w:proofErr w:type="spellEnd"/>
      <w:r w:rsidRPr="0070503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муниципального района Саратовской области за 2025 год</w:t>
      </w:r>
    </w:p>
    <w:p w:rsidR="0070503A" w:rsidRPr="0070503A" w:rsidRDefault="0070503A" w:rsidP="0070503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70503A" w:rsidRPr="0070503A" w:rsidRDefault="0070503A" w:rsidP="0070503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Основной задачей муниципального контроля в сфере благоустройства является проверка соблюдения юридическими лицами, индивидуальными предпринимателями и гражданами обязательных требований, установленных федеральными законами, законами Саратовской области, а также муниципальными правовыми актами </w:t>
      </w:r>
      <w:proofErr w:type="spellStart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>Елшанского</w:t>
      </w:r>
      <w:proofErr w:type="spellEnd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>Хвалынского</w:t>
      </w:r>
      <w:proofErr w:type="spellEnd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района в сфере благоустройства. Нормативным правовым актом, регламентирующим порядок исполнения функции по муниципальному контролю в сфере благоустройства, является решение Совета </w:t>
      </w:r>
      <w:proofErr w:type="spellStart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>Елшанского</w:t>
      </w:r>
      <w:proofErr w:type="spellEnd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>Хвалынского</w:t>
      </w:r>
      <w:proofErr w:type="spellEnd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района Саратовской области от 04.03.2025 года № 165 «Об утверждении Положения о муниципальном контроле в сфере благоустройства на территории </w:t>
      </w:r>
      <w:proofErr w:type="spellStart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>Елшанского</w:t>
      </w:r>
      <w:proofErr w:type="spellEnd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образования» (далее – Положение). </w:t>
      </w:r>
    </w:p>
    <w:p w:rsidR="0070503A" w:rsidRPr="0070503A" w:rsidRDefault="0070503A" w:rsidP="0070503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Главной задачей администрации </w:t>
      </w:r>
      <w:proofErr w:type="spellStart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>Елшанского</w:t>
      </w:r>
      <w:proofErr w:type="spellEnd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>Хвалынского</w:t>
      </w:r>
      <w:proofErr w:type="spellEnd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района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профилактики, а также снижение нарушений законодательства в сфере благоустройства юридическими лицами, индивидуальными предпринимателями, физическими лицами на территории </w:t>
      </w:r>
      <w:proofErr w:type="spellStart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>Елшанского</w:t>
      </w:r>
      <w:proofErr w:type="spellEnd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>Хвалынского</w:t>
      </w:r>
      <w:proofErr w:type="spellEnd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района.</w:t>
      </w:r>
      <w:proofErr w:type="gramEnd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Предметом муниципального контроля в сфере благоустройства согласно Положению является соблюдение юридическими лицами, индивидуальными предпринимателями, гражданами Правил благоустройства на территории </w:t>
      </w:r>
      <w:proofErr w:type="spellStart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>Елшанского</w:t>
      </w:r>
      <w:proofErr w:type="spellEnd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образования, утвержденными решением Совета </w:t>
      </w:r>
      <w:proofErr w:type="spellStart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>Елшанского</w:t>
      </w:r>
      <w:proofErr w:type="spellEnd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>Хвалынского</w:t>
      </w:r>
      <w:proofErr w:type="spellEnd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района Саратовской области от  10.05.2018 года № 73 </w:t>
      </w:r>
      <w:proofErr w:type="gramStart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( </w:t>
      </w:r>
      <w:proofErr w:type="gramEnd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услуг. </w:t>
      </w:r>
    </w:p>
    <w:p w:rsidR="0070503A" w:rsidRPr="0070503A" w:rsidRDefault="0070503A" w:rsidP="0070503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Объектом муниципального контроля являются территории муниципального образования, на которых осуществляется деятельность по благоустройству, а также осуществление </w:t>
      </w:r>
      <w:proofErr w:type="gramStart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контроля за</w:t>
      </w:r>
      <w:proofErr w:type="gramEnd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соблюдением Правил благоустройства, включающих: </w:t>
      </w:r>
    </w:p>
    <w:p w:rsidR="0070503A" w:rsidRPr="0070503A" w:rsidRDefault="0070503A" w:rsidP="0070503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1) обязательные требования по содержанию прилегающих территорий; </w:t>
      </w:r>
    </w:p>
    <w:p w:rsidR="0070503A" w:rsidRPr="0070503A" w:rsidRDefault="0070503A" w:rsidP="0070503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70503A" w:rsidRPr="0070503A" w:rsidRDefault="0070503A" w:rsidP="0070503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 </w:t>
      </w:r>
    </w:p>
    <w:p w:rsidR="0070503A" w:rsidRPr="0070503A" w:rsidRDefault="0070503A" w:rsidP="0070503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 </w:t>
      </w:r>
    </w:p>
    <w:p w:rsidR="0070503A" w:rsidRPr="0070503A" w:rsidRDefault="0070503A" w:rsidP="0070503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 содержанию специальных знаков, надписей, содержащих информацию, необходимую для эксплуатации инженерных сооружений; </w:t>
      </w:r>
    </w:p>
    <w:p w:rsidR="0070503A" w:rsidRPr="0070503A" w:rsidRDefault="0070503A" w:rsidP="0070503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администрации </w:t>
      </w:r>
      <w:proofErr w:type="spellStart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>Хвалынского</w:t>
      </w:r>
      <w:proofErr w:type="spellEnd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района и Правилами благоустройства;</w:t>
      </w:r>
    </w:p>
    <w:p w:rsidR="0070503A" w:rsidRPr="0070503A" w:rsidRDefault="0070503A" w:rsidP="0070503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 </w:t>
      </w:r>
    </w:p>
    <w:p w:rsidR="0070503A" w:rsidRPr="0070503A" w:rsidRDefault="0070503A" w:rsidP="0070503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proofErr w:type="gramStart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>по направлению в администрацию уведомления о проведении работ в результате аварий в срок</w:t>
      </w:r>
      <w:proofErr w:type="gramEnd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установленный нормативными правовыми актами администрации </w:t>
      </w:r>
      <w:proofErr w:type="spellStart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>Елшанского</w:t>
      </w:r>
      <w:proofErr w:type="spellEnd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>Хвалынского</w:t>
      </w:r>
      <w:proofErr w:type="spellEnd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района; </w:t>
      </w:r>
    </w:p>
    <w:p w:rsidR="0070503A" w:rsidRPr="0070503A" w:rsidRDefault="0070503A" w:rsidP="0070503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>- о недопустимости размещения транспортных средств на газоне или иной озеленённой,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</w:t>
      </w:r>
      <w:proofErr w:type="gramStart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)</w:t>
      </w:r>
      <w:proofErr w:type="gramEnd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70503A" w:rsidRPr="0070503A" w:rsidRDefault="0070503A" w:rsidP="0070503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3) обязательные требования по уборке территории муниципального образования в зимний период, включая контроль проведения мероприятий по очистке от снега, наледи и сосулек кровель зданий, сооружений; </w:t>
      </w:r>
    </w:p>
    <w:p w:rsidR="0070503A" w:rsidRPr="0070503A" w:rsidRDefault="0070503A" w:rsidP="0070503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4) обязательные требования по уборке территории </w:t>
      </w:r>
      <w:proofErr w:type="spellStart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>Елшанского</w:t>
      </w:r>
      <w:proofErr w:type="spellEnd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>Хвалынского</w:t>
      </w:r>
      <w:proofErr w:type="spellEnd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района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 </w:t>
      </w:r>
    </w:p>
    <w:p w:rsidR="0070503A" w:rsidRPr="0070503A" w:rsidRDefault="0070503A" w:rsidP="0070503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5) дополнительные обязательные требования пожарной безопасности в период действия особого противопожарного режима;</w:t>
      </w:r>
    </w:p>
    <w:p w:rsidR="0070503A" w:rsidRPr="0070503A" w:rsidRDefault="0070503A" w:rsidP="0070503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6) обязательные требования по прокладке, переустройству, ремонту и содержанию подземных коммуникаций на территориях общего пользования; </w:t>
      </w:r>
    </w:p>
    <w:p w:rsidR="0070503A" w:rsidRPr="0070503A" w:rsidRDefault="0070503A" w:rsidP="0070503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7) обязательные требования по посадке, охране и содержанию зеленых насаждений, в том числе обязательные требования по удалению </w:t>
      </w:r>
      <w:proofErr w:type="gramStart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( </w:t>
      </w:r>
      <w:proofErr w:type="gramEnd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 </w:t>
      </w:r>
    </w:p>
    <w:p w:rsidR="0070503A" w:rsidRPr="0070503A" w:rsidRDefault="0070503A" w:rsidP="0070503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8) обязательные требования по складированию твердых коммунальных отходов; </w:t>
      </w:r>
    </w:p>
    <w:p w:rsidR="0070503A" w:rsidRPr="0070503A" w:rsidRDefault="0070503A" w:rsidP="0070503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 </w:t>
      </w:r>
    </w:p>
    <w:p w:rsidR="0070503A" w:rsidRPr="0070503A" w:rsidRDefault="0070503A" w:rsidP="0070503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Под элементами благоустройства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 Под объектами благоустройства понимаются территории различного функционального назначения, на которых осуществляется деятельность по благоустройству, в том числе: </w:t>
      </w:r>
    </w:p>
    <w:p w:rsidR="0070503A" w:rsidRPr="0070503A" w:rsidRDefault="0070503A" w:rsidP="0070503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>1) элементы планировочной структуры (</w:t>
      </w:r>
      <w:proofErr w:type="spellStart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>зоны</w:t>
      </w:r>
      <w:proofErr w:type="gramStart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>,м</w:t>
      </w:r>
      <w:proofErr w:type="gramEnd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>ассивы</w:t>
      </w:r>
      <w:proofErr w:type="spellEnd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 </w:t>
      </w:r>
    </w:p>
    <w:p w:rsidR="0070503A" w:rsidRPr="0070503A" w:rsidRDefault="0070503A" w:rsidP="0070503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70503A" w:rsidRPr="0070503A" w:rsidRDefault="0070503A" w:rsidP="0070503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>3) дворовые территории;</w:t>
      </w:r>
    </w:p>
    <w:p w:rsidR="0070503A" w:rsidRPr="0070503A" w:rsidRDefault="0070503A" w:rsidP="0070503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4) детские и спортивные площадки; </w:t>
      </w:r>
    </w:p>
    <w:p w:rsidR="0070503A" w:rsidRPr="0070503A" w:rsidRDefault="0070503A" w:rsidP="0070503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5) площадки для выгула животных; </w:t>
      </w:r>
    </w:p>
    <w:p w:rsidR="0070503A" w:rsidRPr="0070503A" w:rsidRDefault="0070503A" w:rsidP="0070503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6) парковки (парковочные места); </w:t>
      </w:r>
    </w:p>
    <w:p w:rsidR="0070503A" w:rsidRPr="0070503A" w:rsidRDefault="0070503A" w:rsidP="0070503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7) парки, скверы, иные зеленые зоны; </w:t>
      </w:r>
    </w:p>
    <w:p w:rsidR="0070503A" w:rsidRPr="0070503A" w:rsidRDefault="0070503A" w:rsidP="0070503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8) технические и санитарно-защитные зоны; </w:t>
      </w:r>
    </w:p>
    <w:p w:rsidR="0070503A" w:rsidRPr="0070503A" w:rsidRDefault="0070503A" w:rsidP="0070503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Под ограждающими устройствами понимаются ворота, калитки, шлагбаумы, в том числе автоматические, и декоративные ограждения (заборы). Субъектами профилактики являются юридические лица, индивидуальные предприниматели, осуществляющие хозяйственную и (или) иную деятельность на территории </w:t>
      </w:r>
      <w:proofErr w:type="spellStart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>Елшанского</w:t>
      </w:r>
      <w:proofErr w:type="spellEnd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образования  </w:t>
      </w:r>
      <w:proofErr w:type="spellStart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>Хвалынского</w:t>
      </w:r>
      <w:proofErr w:type="spellEnd"/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района, а также физические лица. </w:t>
      </w:r>
    </w:p>
    <w:p w:rsidR="0070503A" w:rsidRPr="0070503A" w:rsidRDefault="0070503A" w:rsidP="0070503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Перечень профилактических мероприятий по муниципальному контролю в сфере благоустройства на 2024 год не утверждался. Согласно положениям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 проверок по муниципальному контролю в сфере благоустройства на 2025 год не утверждался. Обращения, жалобы от граждан и юридических лиц в 2025 году не поступали. Внеплановые проверки в 2025 году не проводились, в связи с отсутствием оснований. Протоколы об административных правонарушениях не составлялись. </w:t>
      </w:r>
    </w:p>
    <w:p w:rsidR="0070503A" w:rsidRPr="0070503A" w:rsidRDefault="0070503A" w:rsidP="0070503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503A">
        <w:rPr>
          <w:rFonts w:ascii="PT Astra Serif" w:eastAsia="Times New Roman" w:hAnsi="PT Astra Serif" w:cs="Times New Roman"/>
          <w:sz w:val="28"/>
          <w:szCs w:val="28"/>
          <w:lang w:eastAsia="ru-RU"/>
        </w:rPr>
        <w:t>Анализ практики осуществления муниципального контроля в сфере благоустройства подготовлен с целью обеспечения доступности сведений об указанной практике, устранения условий, способствующих совершению правонарушений, а также оказание воздействия на юридических лиц, индивидуальных предпринимателей и граждан в целях недопущения совершения правонарушений.</w:t>
      </w:r>
    </w:p>
    <w:p w:rsidR="0070503A" w:rsidRPr="0070503A" w:rsidRDefault="0070503A" w:rsidP="0070503A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0503A" w:rsidRPr="0070503A" w:rsidRDefault="0070503A" w:rsidP="0070503A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0503A" w:rsidRPr="0070503A" w:rsidRDefault="0070503A" w:rsidP="0070503A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0503A" w:rsidRPr="0070503A" w:rsidRDefault="0070503A" w:rsidP="0070503A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0503A" w:rsidRPr="0070503A" w:rsidRDefault="0070503A" w:rsidP="0070503A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0503A" w:rsidRPr="0070503A" w:rsidRDefault="0070503A" w:rsidP="0070503A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0503A" w:rsidRPr="0070503A" w:rsidRDefault="0070503A" w:rsidP="0070503A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0503A" w:rsidRPr="0070503A" w:rsidRDefault="0070503A" w:rsidP="0070503A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0503A" w:rsidRPr="0070503A" w:rsidRDefault="0070503A" w:rsidP="0070503A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0503A" w:rsidRPr="0070503A" w:rsidRDefault="0070503A" w:rsidP="0070503A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0503A" w:rsidRPr="0070503A" w:rsidRDefault="0070503A" w:rsidP="0070503A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0503A" w:rsidRPr="0070503A" w:rsidRDefault="0070503A" w:rsidP="0070503A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0503A" w:rsidRPr="0070503A" w:rsidRDefault="0070503A" w:rsidP="0070503A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C09F5" w:rsidRDefault="002C09F5">
      <w:bookmarkStart w:id="0" w:name="_GoBack"/>
      <w:bookmarkEnd w:id="0"/>
    </w:p>
    <w:sectPr w:rsidR="002C0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093"/>
    <w:rsid w:val="002C09F5"/>
    <w:rsid w:val="0070503A"/>
    <w:rsid w:val="00E6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1566</Words>
  <Characters>8931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2026-04-01T11:51:00Z</dcterms:created>
  <dcterms:modified xsi:type="dcterms:W3CDTF">2026-04-01T11:51:00Z</dcterms:modified>
</cp:coreProperties>
</file>